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2B39EA" w14:textId="77777777" w:rsidR="00B815E4" w:rsidRPr="00C96E20" w:rsidRDefault="00B815E4" w:rsidP="00B815E4">
      <w:pPr>
        <w:jc w:val="center"/>
        <w:rPr>
          <w:rFonts w:ascii="Century Gothic" w:hAnsi="Century Gothic"/>
          <w:b/>
          <w:sz w:val="28"/>
          <w:szCs w:val="28"/>
          <w:u w:val="single"/>
        </w:rPr>
      </w:pPr>
      <w:r w:rsidRPr="00C96E20">
        <w:rPr>
          <w:rFonts w:ascii="Century Gothic" w:hAnsi="Century Gothic"/>
          <w:b/>
          <w:sz w:val="28"/>
          <w:szCs w:val="28"/>
          <w:u w:val="single"/>
        </w:rPr>
        <w:t>The Newborns’ and Mothers’ Health Protection Act (the Newborns’ Act or NMHPA) – Content of Required Notice</w:t>
      </w:r>
    </w:p>
    <w:p w14:paraId="0159BFFF" w14:textId="77777777" w:rsidR="00B815E4" w:rsidRDefault="00B815E4" w:rsidP="00B815E4">
      <w:pPr>
        <w:jc w:val="center"/>
        <w:rPr>
          <w:rFonts w:ascii="Century Gothic" w:hAnsi="Century Gothic"/>
          <w:b/>
          <w:sz w:val="28"/>
          <w:szCs w:val="28"/>
          <w:u w:val="single"/>
        </w:rPr>
      </w:pPr>
    </w:p>
    <w:p w14:paraId="6B274205" w14:textId="77777777" w:rsidR="00D34F2B" w:rsidRPr="00C96E20" w:rsidRDefault="00D34F2B" w:rsidP="00B815E4">
      <w:pPr>
        <w:jc w:val="center"/>
        <w:rPr>
          <w:rFonts w:ascii="Century Gothic" w:hAnsi="Century Gothic"/>
          <w:b/>
          <w:sz w:val="28"/>
          <w:szCs w:val="28"/>
          <w:u w:val="single"/>
        </w:rPr>
      </w:pPr>
    </w:p>
    <w:p w14:paraId="548C555D" w14:textId="77777777" w:rsidR="00B815E4" w:rsidRPr="00C96E20" w:rsidRDefault="00B815E4" w:rsidP="00B815E4">
      <w:pPr>
        <w:rPr>
          <w:rFonts w:ascii="Century Gothic" w:hAnsi="Century Gothic"/>
          <w:sz w:val="20"/>
          <w:szCs w:val="20"/>
        </w:rPr>
      </w:pPr>
      <w:r w:rsidRPr="00C96E20">
        <w:rPr>
          <w:rFonts w:ascii="Century Gothic" w:hAnsi="Century Gothic"/>
          <w:sz w:val="20"/>
          <w:szCs w:val="20"/>
        </w:rPr>
        <w:t xml:space="preserve">The DOL regulations contain the following statement, which will be deemed to satisfy the employer's obligation to describe the federal requirements relating to hospital length of stay under NMHPA: </w:t>
      </w:r>
    </w:p>
    <w:p w14:paraId="26B3B33E" w14:textId="77777777" w:rsidR="00B815E4" w:rsidRPr="00C96E20" w:rsidRDefault="00B815E4" w:rsidP="00B815E4">
      <w:pPr>
        <w:rPr>
          <w:rFonts w:ascii="Century Gothic" w:hAnsi="Century Gothic"/>
          <w:sz w:val="20"/>
          <w:szCs w:val="20"/>
        </w:rPr>
      </w:pPr>
    </w:p>
    <w:p w14:paraId="56F01EEC" w14:textId="77777777" w:rsidR="00B815E4" w:rsidRPr="00C96E20" w:rsidRDefault="00B815E4" w:rsidP="00B815E4">
      <w:pPr>
        <w:ind w:left="720"/>
        <w:rPr>
          <w:rFonts w:ascii="Century Gothic" w:hAnsi="Century Gothic"/>
          <w:sz w:val="20"/>
          <w:szCs w:val="20"/>
        </w:rPr>
      </w:pPr>
      <w:r w:rsidRPr="00C96E20">
        <w:rPr>
          <w:rFonts w:ascii="Century Gothic" w:hAnsi="Century Gothic"/>
          <w:sz w:val="20"/>
          <w:szCs w:val="20"/>
        </w:rPr>
        <w:t xml:space="preserve">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mother's or newborn's attending provider, after consulting with the mother, from discharging the mother or her newborn earlier than 48 hours (or 96 hours as applicable). In any case, plans and issuers may not, under Federal law, require that a provider obtain authorization from the plan or the issuer for prescribing a length of stay not in excess of 48 hours (or 96 hours). </w:t>
      </w:r>
      <w:bookmarkStart w:id="0" w:name="SRC_56"/>
      <w:bookmarkEnd w:id="0"/>
    </w:p>
    <w:p w14:paraId="54DF35ED" w14:textId="77777777" w:rsidR="00B815E4" w:rsidRPr="00C96E20" w:rsidRDefault="00B815E4" w:rsidP="00B815E4">
      <w:pPr>
        <w:rPr>
          <w:rFonts w:ascii="Century Gothic" w:hAnsi="Century Gothic"/>
          <w:sz w:val="20"/>
          <w:szCs w:val="20"/>
        </w:rPr>
      </w:pPr>
    </w:p>
    <w:p w14:paraId="1224980C" w14:textId="77777777" w:rsidR="00B815E4" w:rsidRPr="00C96E20" w:rsidRDefault="00B815E4" w:rsidP="00B815E4">
      <w:pPr>
        <w:rPr>
          <w:rFonts w:ascii="Century Gothic" w:hAnsi="Century Gothic"/>
          <w:sz w:val="20"/>
          <w:szCs w:val="20"/>
        </w:rPr>
      </w:pPr>
    </w:p>
    <w:p w14:paraId="5FD8DB4B" w14:textId="77777777" w:rsidR="00B815E4" w:rsidRPr="00C96E20" w:rsidRDefault="00B815E4" w:rsidP="00B815E4">
      <w:pPr>
        <w:rPr>
          <w:rFonts w:ascii="Century Gothic" w:hAnsi="Century Gothic"/>
          <w:sz w:val="20"/>
          <w:szCs w:val="20"/>
        </w:rPr>
      </w:pPr>
    </w:p>
    <w:p w14:paraId="1D61B9B8" w14:textId="77777777" w:rsidR="007F6464" w:rsidRPr="00C96E20" w:rsidRDefault="007F6464" w:rsidP="00B815E4">
      <w:pPr>
        <w:rPr>
          <w:rFonts w:ascii="Century Gothic" w:hAnsi="Century Gothic"/>
          <w:sz w:val="20"/>
          <w:szCs w:val="20"/>
        </w:rPr>
      </w:pPr>
    </w:p>
    <w:sectPr w:rsidR="007F6464" w:rsidRPr="00C96E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15E4"/>
    <w:rsid w:val="002616E0"/>
    <w:rsid w:val="00492DB3"/>
    <w:rsid w:val="007516C5"/>
    <w:rsid w:val="007F6464"/>
    <w:rsid w:val="00B815E4"/>
    <w:rsid w:val="00C96E20"/>
    <w:rsid w:val="00D3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89181"/>
  <w15:docId w15:val="{9F3AD08E-F0DE-4ACB-834C-CF211A61F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15E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B815E4"/>
    <w:pPr>
      <w:spacing w:before="264" w:after="2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155</Words>
  <Characters>889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Weidenhammer Systems Corp.</Company>
  <LinksUpToDate>false</LinksUpToDate>
  <CharactersWithSpaces>1042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Bucher</dc:creator>
  <cp:lastModifiedBy>Clement, Bev</cp:lastModifiedBy>
  <cp:revision>4</cp:revision>
  <dcterms:created xsi:type="dcterms:W3CDTF">2012-12-21T15:51:00Z</dcterms:created>
  <dcterms:modified xsi:type="dcterms:W3CDTF">2022-07-14T20:01:00Z</dcterms:modified>
</cp:coreProperties>
</file>